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24A0" w14:textId="77777777" w:rsidR="00191E5B" w:rsidRDefault="00191E5B"/>
    <w:p w14:paraId="2ED2D948" w14:textId="77777777" w:rsidR="00A9483C" w:rsidRDefault="00A9483C">
      <w:pPr>
        <w:rPr>
          <w:rFonts w:ascii="SimSun" w:eastAsia="SimSun" w:hAnsi="SimSun"/>
        </w:rPr>
      </w:pPr>
      <w:r w:rsidRPr="000D56F7">
        <w:rPr>
          <w:rFonts w:ascii="SimSun" w:eastAsia="SimSun" w:hAnsi="SimSun"/>
        </w:rPr>
        <w:t>附件1：</w:t>
      </w:r>
    </w:p>
    <w:p w14:paraId="69E659BF" w14:textId="77777777" w:rsidR="00A9483C" w:rsidRDefault="00A9483C">
      <w:pPr>
        <w:rPr>
          <w:rFonts w:ascii="SimSun" w:eastAsia="SimSun" w:hAnsi="SimSun"/>
        </w:rPr>
      </w:pPr>
    </w:p>
    <w:p w14:paraId="450DF63D" w14:textId="77777777" w:rsidR="00A9483C" w:rsidRPr="004536DC" w:rsidRDefault="00A9483C" w:rsidP="004536DC">
      <w:pPr>
        <w:jc w:val="center"/>
        <w:rPr>
          <w:rFonts w:ascii="STZhongsong" w:eastAsia="STZhongsong" w:hAnsi="STZhongsong"/>
          <w:sz w:val="30"/>
          <w:szCs w:val="30"/>
        </w:rPr>
      </w:pPr>
      <w:r w:rsidRPr="004536DC">
        <w:rPr>
          <w:rFonts w:ascii="STZhongsong" w:eastAsia="STZhongsong" w:hAnsi="STZhongsong"/>
          <w:sz w:val="30"/>
          <w:szCs w:val="30"/>
        </w:rPr>
        <w:t>教育专业学位教学案例入库标准</w:t>
      </w:r>
    </w:p>
    <w:p w14:paraId="43AC53AF" w14:textId="77777777" w:rsidR="00A9483C" w:rsidRDefault="00A9483C"/>
    <w:p w14:paraId="45132C07" w14:textId="77777777" w:rsidR="00A9483C" w:rsidRDefault="00A9483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2428"/>
        <w:gridCol w:w="9213"/>
      </w:tblGrid>
      <w:tr w:rsidR="00910A35" w14:paraId="56C8FCDD" w14:textId="77777777" w:rsidTr="00067FE7">
        <w:trPr>
          <w:jc w:val="center"/>
        </w:trPr>
        <w:tc>
          <w:tcPr>
            <w:tcW w:w="13330" w:type="dxa"/>
            <w:gridSpan w:val="3"/>
          </w:tcPr>
          <w:p w14:paraId="595208BD" w14:textId="63BD09E3" w:rsidR="00910A35" w:rsidRPr="008A29E1" w:rsidRDefault="00910A35" w:rsidP="008A29E1">
            <w:pPr>
              <w:jc w:val="center"/>
              <w:rPr>
                <w:rFonts w:ascii="STZhongsong" w:eastAsia="STZhongsong" w:hAnsi="STZhongsong"/>
              </w:rPr>
            </w:pPr>
            <w:r w:rsidRPr="008A29E1">
              <w:rPr>
                <w:rFonts w:ascii="STZhongsong" w:eastAsia="STZhongsong" w:hAnsi="STZhongsong" w:hint="eastAsia"/>
              </w:rPr>
              <w:t>第一部分  案例正文</w:t>
            </w:r>
          </w:p>
        </w:tc>
      </w:tr>
      <w:tr w:rsidR="00067FE7" w14:paraId="369AAE0E" w14:textId="77777777" w:rsidTr="00067FE7">
        <w:trPr>
          <w:jc w:val="center"/>
        </w:trPr>
        <w:tc>
          <w:tcPr>
            <w:tcW w:w="1689" w:type="dxa"/>
            <w:vMerge w:val="restart"/>
            <w:vAlign w:val="center"/>
          </w:tcPr>
          <w:p w14:paraId="779997E7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 w:hint="eastAsia"/>
              </w:rPr>
              <w:t>1</w:t>
            </w:r>
            <w:r w:rsidRPr="00067FE7">
              <w:rPr>
                <w:rFonts w:ascii="SimSun" w:eastAsia="SimSun" w:hAnsi="SimSun"/>
              </w:rPr>
              <w:t>.</w:t>
            </w:r>
            <w:r w:rsidRPr="00067FE7">
              <w:rPr>
                <w:rFonts w:ascii="SimSun" w:eastAsia="SimSun" w:hAnsi="SimSun" w:hint="eastAsia"/>
              </w:rPr>
              <w:t>案例选题</w:t>
            </w:r>
          </w:p>
        </w:tc>
        <w:tc>
          <w:tcPr>
            <w:tcW w:w="2428" w:type="dxa"/>
            <w:vAlign w:val="center"/>
          </w:tcPr>
          <w:p w14:paraId="5A656F27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属于基础教育领域</w:t>
            </w:r>
          </w:p>
        </w:tc>
        <w:tc>
          <w:tcPr>
            <w:tcW w:w="9213" w:type="dxa"/>
            <w:vAlign w:val="center"/>
          </w:tcPr>
          <w:p w14:paraId="00661D4A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案例选题关注的是中国基础教育发展改革、学校管理、课程教学的实践。</w:t>
            </w:r>
          </w:p>
        </w:tc>
      </w:tr>
      <w:tr w:rsidR="00067FE7" w14:paraId="50D996C6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671428A0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</w:p>
        </w:tc>
        <w:tc>
          <w:tcPr>
            <w:tcW w:w="2428" w:type="dxa"/>
            <w:vAlign w:val="center"/>
          </w:tcPr>
          <w:p w14:paraId="0B675E4A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坚持服务教学</w:t>
            </w:r>
          </w:p>
        </w:tc>
        <w:tc>
          <w:tcPr>
            <w:tcW w:w="9213" w:type="dxa"/>
            <w:vAlign w:val="center"/>
          </w:tcPr>
          <w:p w14:paraId="17990065" w14:textId="7CDE2F09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案例选题应紧密结合教育专业学位</w:t>
            </w:r>
            <w:r w:rsidR="00AF184C">
              <w:rPr>
                <w:rFonts w:ascii="SimSun" w:eastAsia="SimSun" w:hAnsi="SimSun" w:hint="eastAsia"/>
                <w:color w:val="0D0D0D"/>
              </w:rPr>
              <w:t>硕士</w:t>
            </w:r>
            <w:r w:rsidRPr="00067FE7">
              <w:rPr>
                <w:rFonts w:ascii="SimSun" w:eastAsia="SimSun" w:hAnsi="SimSun"/>
                <w:color w:val="0D0D0D"/>
              </w:rPr>
              <w:t>研究生相关课程教学的需要。</w:t>
            </w:r>
          </w:p>
        </w:tc>
      </w:tr>
      <w:tr w:rsidR="00067FE7" w14:paraId="17AADEB3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4679F83B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</w:p>
        </w:tc>
        <w:tc>
          <w:tcPr>
            <w:tcW w:w="2428" w:type="dxa"/>
            <w:vAlign w:val="center"/>
          </w:tcPr>
          <w:p w14:paraId="5034C227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具有时代性</w:t>
            </w:r>
          </w:p>
        </w:tc>
        <w:tc>
          <w:tcPr>
            <w:tcW w:w="9213" w:type="dxa"/>
            <w:vAlign w:val="center"/>
          </w:tcPr>
          <w:p w14:paraId="13094064" w14:textId="58EF40A8" w:rsidR="00067FE7" w:rsidRPr="00067FE7" w:rsidRDefault="00AF184C" w:rsidP="00AC40BF">
            <w:pPr>
              <w:spacing w:line="420" w:lineRule="exact"/>
              <w:rPr>
                <w:rFonts w:ascii="SimSun" w:eastAsia="SimSun" w:hAnsi="SimSun"/>
              </w:rPr>
            </w:pPr>
            <w:r w:rsidRPr="007E1FD3">
              <w:rPr>
                <w:rFonts w:ascii="Times New Roman" w:eastAsia="SimSun" w:hAnsi="Times New Roman" w:cs="Times New Roman"/>
                <w:color w:val="0D0D0D"/>
              </w:rPr>
              <w:t>案例选题紧跟教育实践与理论发展的时代主题，反映当前教育实践的新举措和理论的新认识。</w:t>
            </w:r>
          </w:p>
        </w:tc>
      </w:tr>
      <w:tr w:rsidR="00067FE7" w14:paraId="6C209BEF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112E4169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</w:p>
        </w:tc>
        <w:tc>
          <w:tcPr>
            <w:tcW w:w="2428" w:type="dxa"/>
            <w:vAlign w:val="center"/>
          </w:tcPr>
          <w:p w14:paraId="36901E74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具有代表性</w:t>
            </w:r>
          </w:p>
        </w:tc>
        <w:tc>
          <w:tcPr>
            <w:tcW w:w="9213" w:type="dxa"/>
            <w:vAlign w:val="center"/>
          </w:tcPr>
          <w:p w14:paraId="51ED22A7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 w:hint="eastAsia"/>
              </w:rPr>
              <w:t>案例</w:t>
            </w:r>
            <w:r w:rsidRPr="00067FE7">
              <w:rPr>
                <w:rFonts w:ascii="SimSun" w:eastAsia="SimSun" w:hAnsi="SimSun"/>
                <w:color w:val="0D0D0D"/>
              </w:rPr>
              <w:t>选题具有一定的普遍性，反映一般性的关注。</w:t>
            </w:r>
          </w:p>
        </w:tc>
      </w:tr>
      <w:tr w:rsidR="00067FE7" w14:paraId="4CDD0C64" w14:textId="77777777" w:rsidTr="00067FE7">
        <w:trPr>
          <w:jc w:val="center"/>
        </w:trPr>
        <w:tc>
          <w:tcPr>
            <w:tcW w:w="1689" w:type="dxa"/>
            <w:vMerge w:val="restart"/>
            <w:vAlign w:val="center"/>
          </w:tcPr>
          <w:p w14:paraId="3A0B1889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 w:hint="eastAsia"/>
                <w:color w:val="0D0D0D"/>
              </w:rPr>
              <w:t>2</w:t>
            </w:r>
            <w:r w:rsidRPr="00067FE7">
              <w:rPr>
                <w:rFonts w:ascii="SimSun" w:eastAsia="SimSun" w:hAnsi="SimSun"/>
                <w:color w:val="0D0D0D"/>
              </w:rPr>
              <w:t>.案例内容</w:t>
            </w:r>
          </w:p>
        </w:tc>
        <w:tc>
          <w:tcPr>
            <w:tcW w:w="2428" w:type="dxa"/>
            <w:vAlign w:val="center"/>
          </w:tcPr>
          <w:p w14:paraId="56B90B39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真实可信</w:t>
            </w:r>
          </w:p>
        </w:tc>
        <w:tc>
          <w:tcPr>
            <w:tcW w:w="9213" w:type="dxa"/>
            <w:vAlign w:val="center"/>
          </w:tcPr>
          <w:p w14:paraId="13F0602D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案例是对已发生事实的如实记录，非杜撰、虚构、臆想之物。</w:t>
            </w:r>
          </w:p>
        </w:tc>
      </w:tr>
      <w:tr w:rsidR="00067FE7" w14:paraId="5EC94F4E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57312AD3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1444B9F8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材料客观丰富</w:t>
            </w:r>
          </w:p>
        </w:tc>
        <w:tc>
          <w:tcPr>
            <w:tcW w:w="9213" w:type="dxa"/>
            <w:vAlign w:val="center"/>
          </w:tcPr>
          <w:p w14:paraId="2B9F265A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案例是在系统深入调研的基础上精心编写而成的，而不是从已出版论著中简单转抄而来，案例应充分呈现调研获得的一手材料。</w:t>
            </w:r>
          </w:p>
        </w:tc>
      </w:tr>
      <w:tr w:rsidR="00067FE7" w14:paraId="0B52EB95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6BF45D77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18B2A148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有一定的篇幅与难度</w:t>
            </w:r>
          </w:p>
        </w:tc>
        <w:tc>
          <w:tcPr>
            <w:tcW w:w="9213" w:type="dxa"/>
            <w:vAlign w:val="center"/>
          </w:tcPr>
          <w:p w14:paraId="17E21529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案例正文的篇幅在8000-15000字之间。在内容呈现、概念把握与结构性上有一定的难度，不简单表露问题、观点与价值的取向，有争鸣和讨论的空间。</w:t>
            </w:r>
          </w:p>
        </w:tc>
      </w:tr>
      <w:tr w:rsidR="00067FE7" w14:paraId="541AE514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072479DD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1D63D8BF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结构完整</w:t>
            </w:r>
          </w:p>
        </w:tc>
        <w:tc>
          <w:tcPr>
            <w:tcW w:w="9213" w:type="dxa"/>
            <w:vAlign w:val="center"/>
          </w:tcPr>
          <w:p w14:paraId="1A7ED97A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</w:t>
            </w:r>
            <w:r w:rsidRPr="00067FE7">
              <w:rPr>
                <w:rFonts w:ascii="SimSun" w:eastAsia="SimSun" w:hAnsi="SimSun"/>
                <w:color w:val="0D0D0D"/>
                <w:szCs w:val="21"/>
              </w:rPr>
              <w:t>均由案例标题、首页注释、中英文摘要关键词、背景信息、案例正文、案例思考题、案例使用说明等部分构成。</w:t>
            </w:r>
          </w:p>
        </w:tc>
      </w:tr>
      <w:tr w:rsidR="00067FE7" w14:paraId="1ECACD57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26D30683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08AD85B1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谋篇布局合理</w:t>
            </w:r>
          </w:p>
        </w:tc>
        <w:tc>
          <w:tcPr>
            <w:tcW w:w="9213" w:type="dxa"/>
            <w:vAlign w:val="center"/>
          </w:tcPr>
          <w:p w14:paraId="03EE9053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能综合考虑案例的主题和素材，做到主线清晰，案例素材和主线结构匹配合理，案例内容层次清晰、衔接自然。</w:t>
            </w:r>
          </w:p>
        </w:tc>
      </w:tr>
      <w:tr w:rsidR="00067FE7" w14:paraId="6BE6FCF5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6AD055EC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557D247C" w14:textId="66CD7C03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背景信息充分</w:t>
            </w:r>
          </w:p>
        </w:tc>
        <w:tc>
          <w:tcPr>
            <w:tcW w:w="9213" w:type="dxa"/>
            <w:vAlign w:val="center"/>
          </w:tcPr>
          <w:p w14:paraId="3CED9CA9" w14:textId="2417AA3E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能很好地交代案例的政策与实践背景、知识与理论背景、以及案例对象的相关信息。</w:t>
            </w:r>
          </w:p>
        </w:tc>
      </w:tr>
      <w:tr w:rsidR="00910A35" w14:paraId="2C7BE930" w14:textId="77777777" w:rsidTr="00067FE7">
        <w:trPr>
          <w:jc w:val="center"/>
        </w:trPr>
        <w:tc>
          <w:tcPr>
            <w:tcW w:w="1689" w:type="dxa"/>
            <w:vAlign w:val="center"/>
          </w:tcPr>
          <w:p w14:paraId="7316C66F" w14:textId="14405611" w:rsidR="00910A35" w:rsidRPr="00067FE7" w:rsidRDefault="00067FE7" w:rsidP="00AC40BF">
            <w:pPr>
              <w:spacing w:line="420" w:lineRule="exact"/>
              <w:rPr>
                <w:rFonts w:ascii="SimSun" w:eastAsia="SimSun" w:hAnsi="SimSun"/>
                <w:b/>
                <w:color w:val="0D0D0D"/>
              </w:rPr>
            </w:pPr>
            <w:r w:rsidRPr="00067FE7">
              <w:rPr>
                <w:rFonts w:ascii="SimSun" w:eastAsia="SimSun" w:hAnsi="SimSun" w:hint="eastAsia"/>
                <w:color w:val="0D0D0D"/>
              </w:rPr>
              <w:lastRenderedPageBreak/>
              <w:t>3</w:t>
            </w:r>
            <w:r w:rsidRPr="00067FE7">
              <w:rPr>
                <w:rFonts w:ascii="SimSun" w:eastAsia="SimSun" w:hAnsi="SimSun"/>
                <w:color w:val="0D0D0D"/>
              </w:rPr>
              <w:t>.</w:t>
            </w:r>
            <w:r w:rsidR="00910A35" w:rsidRPr="00067FE7">
              <w:rPr>
                <w:rFonts w:ascii="SimSun" w:eastAsia="SimSun" w:hAnsi="SimSun" w:hint="eastAsia"/>
                <w:color w:val="0D0D0D"/>
              </w:rPr>
              <w:t>补充材料</w:t>
            </w:r>
          </w:p>
        </w:tc>
        <w:tc>
          <w:tcPr>
            <w:tcW w:w="2428" w:type="dxa"/>
            <w:vAlign w:val="center"/>
          </w:tcPr>
          <w:p w14:paraId="4BC78DC1" w14:textId="54DAED69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案例附件必要有效</w:t>
            </w:r>
          </w:p>
        </w:tc>
        <w:tc>
          <w:tcPr>
            <w:tcW w:w="9213" w:type="dxa"/>
            <w:vAlign w:val="center"/>
          </w:tcPr>
          <w:p w14:paraId="419601A6" w14:textId="24CA3A6E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能很好地补充案例正文的信息，有利于学生扩展与深化对问题的思考。</w:t>
            </w:r>
          </w:p>
        </w:tc>
      </w:tr>
      <w:tr w:rsidR="00910A35" w14:paraId="0B859EDA" w14:textId="77777777" w:rsidTr="00067FE7">
        <w:trPr>
          <w:jc w:val="center"/>
        </w:trPr>
        <w:tc>
          <w:tcPr>
            <w:tcW w:w="13330" w:type="dxa"/>
            <w:gridSpan w:val="3"/>
          </w:tcPr>
          <w:p w14:paraId="218AA031" w14:textId="2DC5AC03" w:rsidR="00910A35" w:rsidRPr="00EB086F" w:rsidRDefault="00910A35" w:rsidP="00AC40BF">
            <w:pPr>
              <w:spacing w:line="420" w:lineRule="exact"/>
              <w:jc w:val="center"/>
              <w:rPr>
                <w:rFonts w:eastAsia="Kaiti TC"/>
                <w:color w:val="0D0D0D"/>
              </w:rPr>
            </w:pPr>
            <w:r w:rsidRPr="008A29E1">
              <w:rPr>
                <w:rFonts w:ascii="STZhongsong" w:eastAsia="STZhongsong" w:hAnsi="STZhongsong" w:hint="eastAsia"/>
              </w:rPr>
              <w:t xml:space="preserve">第二部分 </w:t>
            </w:r>
            <w:r w:rsidRPr="008A29E1">
              <w:rPr>
                <w:rFonts w:ascii="STZhongsong" w:eastAsia="STZhongsong" w:hAnsi="STZhongsong"/>
              </w:rPr>
              <w:t xml:space="preserve"> </w:t>
            </w:r>
            <w:r w:rsidRPr="008A29E1">
              <w:rPr>
                <w:rFonts w:ascii="STZhongsong" w:eastAsia="STZhongsong" w:hAnsi="STZhongsong" w:hint="eastAsia"/>
              </w:rPr>
              <w:t>案例使用说明</w:t>
            </w:r>
          </w:p>
        </w:tc>
      </w:tr>
      <w:tr w:rsidR="00910A35" w14:paraId="28230192" w14:textId="77777777" w:rsidTr="00067FE7">
        <w:trPr>
          <w:jc w:val="center"/>
        </w:trPr>
        <w:tc>
          <w:tcPr>
            <w:tcW w:w="1689" w:type="dxa"/>
            <w:vAlign w:val="center"/>
          </w:tcPr>
          <w:p w14:paraId="5F8C00F0" w14:textId="362486DF" w:rsidR="00910A35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 w:hint="eastAsia"/>
                <w:color w:val="0D0D0D"/>
              </w:rPr>
              <w:t>4</w:t>
            </w:r>
            <w:r>
              <w:rPr>
                <w:rFonts w:ascii="SimSun" w:eastAsia="SimSun" w:hAnsi="SimSun"/>
                <w:color w:val="0D0D0D"/>
              </w:rPr>
              <w:t>.</w:t>
            </w:r>
            <w:r w:rsidR="00910A35" w:rsidRPr="00067FE7">
              <w:rPr>
                <w:rFonts w:ascii="SimSun" w:eastAsia="SimSun" w:hAnsi="SimSun" w:hint="eastAsia"/>
                <w:color w:val="0D0D0D"/>
              </w:rPr>
              <w:t>思考题</w:t>
            </w:r>
          </w:p>
        </w:tc>
        <w:tc>
          <w:tcPr>
            <w:tcW w:w="2428" w:type="dxa"/>
            <w:vAlign w:val="center"/>
          </w:tcPr>
          <w:p w14:paraId="190CE5C9" w14:textId="3BD22DEE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  <w:szCs w:val="21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思考题设计合理</w:t>
            </w:r>
          </w:p>
        </w:tc>
        <w:tc>
          <w:tcPr>
            <w:tcW w:w="9213" w:type="dxa"/>
          </w:tcPr>
          <w:p w14:paraId="1ED80765" w14:textId="40B719BA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问题能紧密结合案例与教学目标，具有启发性、开放性与层次性；能够将理论与实践、知识学习与能力提升很好地结合起来。</w:t>
            </w:r>
          </w:p>
        </w:tc>
      </w:tr>
      <w:tr w:rsidR="00910A35" w14:paraId="21C3EC91" w14:textId="77777777" w:rsidTr="00067FE7">
        <w:trPr>
          <w:jc w:val="center"/>
        </w:trPr>
        <w:tc>
          <w:tcPr>
            <w:tcW w:w="1689" w:type="dxa"/>
            <w:vAlign w:val="center"/>
          </w:tcPr>
          <w:p w14:paraId="202BBCCE" w14:textId="4CFD0360" w:rsidR="00910A35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 w:hint="eastAsia"/>
                <w:color w:val="0D0D0D"/>
              </w:rPr>
              <w:t>5</w:t>
            </w:r>
            <w:r>
              <w:rPr>
                <w:rFonts w:ascii="SimSun" w:eastAsia="SimSun" w:hAnsi="SimSun"/>
                <w:color w:val="0D0D0D"/>
              </w:rPr>
              <w:t>.</w:t>
            </w:r>
            <w:r w:rsidR="00910A35" w:rsidRPr="00067FE7">
              <w:rPr>
                <w:rFonts w:ascii="SimSun" w:eastAsia="SimSun" w:hAnsi="SimSun" w:hint="eastAsia"/>
                <w:color w:val="0D0D0D"/>
              </w:rPr>
              <w:t>教学目标</w:t>
            </w:r>
          </w:p>
        </w:tc>
        <w:tc>
          <w:tcPr>
            <w:tcW w:w="2428" w:type="dxa"/>
            <w:vAlign w:val="center"/>
          </w:tcPr>
          <w:p w14:paraId="48F6F9BC" w14:textId="77777777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  <w:szCs w:val="21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教学目标设定恰当</w:t>
            </w:r>
          </w:p>
        </w:tc>
        <w:tc>
          <w:tcPr>
            <w:tcW w:w="9213" w:type="dxa"/>
          </w:tcPr>
          <w:p w14:paraId="45D78567" w14:textId="77777777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教学目标设定与课程教学目标和知识点对应，能综合考虑案例的知识覆盖和对学生分析问题、解决问题能力的训练。</w:t>
            </w:r>
          </w:p>
        </w:tc>
      </w:tr>
      <w:tr w:rsidR="00067FE7" w14:paraId="151EC785" w14:textId="77777777" w:rsidTr="00067FE7">
        <w:trPr>
          <w:jc w:val="center"/>
        </w:trPr>
        <w:tc>
          <w:tcPr>
            <w:tcW w:w="1689" w:type="dxa"/>
            <w:vAlign w:val="center"/>
          </w:tcPr>
          <w:p w14:paraId="74574A85" w14:textId="3BE4F48B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 w:hint="eastAsia"/>
                <w:color w:val="0D0D0D"/>
              </w:rPr>
              <w:t>6</w:t>
            </w:r>
            <w:r>
              <w:rPr>
                <w:rFonts w:ascii="SimSun" w:eastAsia="SimSun" w:hAnsi="SimSun"/>
                <w:color w:val="0D0D0D"/>
              </w:rPr>
              <w:t>.</w:t>
            </w:r>
            <w:r w:rsidR="005A2CFF">
              <w:rPr>
                <w:rFonts w:ascii="SimSun" w:eastAsia="SimSun" w:hAnsi="SimSun" w:hint="eastAsia"/>
                <w:color w:val="0D0D0D"/>
              </w:rPr>
              <w:t>要点</w:t>
            </w:r>
            <w:r w:rsidRPr="00067FE7">
              <w:rPr>
                <w:rFonts w:ascii="SimSun" w:eastAsia="SimSun" w:hAnsi="SimSun" w:hint="eastAsia"/>
                <w:color w:val="0D0D0D"/>
              </w:rPr>
              <w:t>分析</w:t>
            </w:r>
          </w:p>
        </w:tc>
        <w:tc>
          <w:tcPr>
            <w:tcW w:w="2428" w:type="dxa"/>
            <w:vAlign w:val="center"/>
          </w:tcPr>
          <w:p w14:paraId="53D2B3F8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  <w:szCs w:val="21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要点提示清晰到位</w:t>
            </w:r>
          </w:p>
        </w:tc>
        <w:tc>
          <w:tcPr>
            <w:tcW w:w="9213" w:type="dxa"/>
          </w:tcPr>
          <w:p w14:paraId="554F2169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能清楚交代案例问题的基础理论、相关知识及分析方法，有利于教师和学生对案例问题进行系统的总结，同时帮助教师和学生有针对性地学习与案例相关的知识。</w:t>
            </w:r>
          </w:p>
        </w:tc>
      </w:tr>
      <w:tr w:rsidR="00067FE7" w14:paraId="5722E9F7" w14:textId="77777777" w:rsidTr="00067FE7">
        <w:trPr>
          <w:jc w:val="center"/>
        </w:trPr>
        <w:tc>
          <w:tcPr>
            <w:tcW w:w="1689" w:type="dxa"/>
            <w:vAlign w:val="center"/>
          </w:tcPr>
          <w:p w14:paraId="58D90033" w14:textId="434740DA" w:rsidR="00067FE7" w:rsidRPr="00067FE7" w:rsidRDefault="005A2CFF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 w:hint="eastAsia"/>
                <w:color w:val="0D0D0D"/>
              </w:rPr>
              <w:t>7</w:t>
            </w:r>
            <w:r>
              <w:rPr>
                <w:rFonts w:ascii="SimSun" w:eastAsia="SimSun" w:hAnsi="SimSun"/>
                <w:color w:val="0D0D0D"/>
              </w:rPr>
              <w:t>.</w:t>
            </w:r>
            <w:r>
              <w:rPr>
                <w:rFonts w:ascii="SimSun" w:eastAsia="SimSun" w:hAnsi="SimSun" w:hint="eastAsia"/>
                <w:color w:val="0D0D0D"/>
              </w:rPr>
              <w:t>教学</w:t>
            </w:r>
            <w:r w:rsidRPr="00067FE7">
              <w:rPr>
                <w:rFonts w:ascii="SimSun" w:eastAsia="SimSun" w:hAnsi="SimSun" w:hint="eastAsia"/>
                <w:color w:val="0D0D0D"/>
              </w:rPr>
              <w:t>建议</w:t>
            </w:r>
          </w:p>
        </w:tc>
        <w:tc>
          <w:tcPr>
            <w:tcW w:w="2428" w:type="dxa"/>
            <w:vAlign w:val="center"/>
          </w:tcPr>
          <w:p w14:paraId="17E977ED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  <w:szCs w:val="21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课堂教学建议合理</w:t>
            </w:r>
          </w:p>
        </w:tc>
        <w:tc>
          <w:tcPr>
            <w:tcW w:w="9213" w:type="dxa"/>
          </w:tcPr>
          <w:p w14:paraId="72AA78F1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包括师生课前计划的安排、课堂讨论交流的形式、时间进度计划、教师注意要点和课后如何评估等内容，能考虑不同学校、学生的情况。</w:t>
            </w:r>
          </w:p>
        </w:tc>
      </w:tr>
      <w:tr w:rsidR="00910A35" w14:paraId="4DB8FF69" w14:textId="77777777" w:rsidTr="00067FE7">
        <w:trPr>
          <w:jc w:val="center"/>
        </w:trPr>
        <w:tc>
          <w:tcPr>
            <w:tcW w:w="1689" w:type="dxa"/>
            <w:vAlign w:val="center"/>
          </w:tcPr>
          <w:p w14:paraId="71768258" w14:textId="0DF542BE" w:rsidR="00910A35" w:rsidRPr="00067FE7" w:rsidRDefault="005A2CFF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/>
                <w:color w:val="0D0D0D"/>
              </w:rPr>
              <w:t>8</w:t>
            </w:r>
            <w:r w:rsidR="00067FE7">
              <w:rPr>
                <w:rFonts w:ascii="SimSun" w:eastAsia="SimSun" w:hAnsi="SimSun"/>
                <w:color w:val="0D0D0D"/>
              </w:rPr>
              <w:t>.</w:t>
            </w:r>
            <w:r w:rsidR="00910A35" w:rsidRPr="00067FE7">
              <w:rPr>
                <w:rFonts w:ascii="SimSun" w:eastAsia="SimSun" w:hAnsi="SimSun" w:hint="eastAsia"/>
                <w:color w:val="0D0D0D"/>
              </w:rPr>
              <w:t>推荐阅读</w:t>
            </w:r>
          </w:p>
        </w:tc>
        <w:tc>
          <w:tcPr>
            <w:tcW w:w="2428" w:type="dxa"/>
            <w:vAlign w:val="center"/>
          </w:tcPr>
          <w:p w14:paraId="6A734D19" w14:textId="77777777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  <w:szCs w:val="21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推荐阅读具有针对性</w:t>
            </w:r>
          </w:p>
        </w:tc>
        <w:tc>
          <w:tcPr>
            <w:tcW w:w="9213" w:type="dxa"/>
          </w:tcPr>
          <w:p w14:paraId="64619DE8" w14:textId="24D26244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  <w:szCs w:val="21"/>
              </w:rPr>
              <w:t>推荐文献应紧密结合案例内容与教学目标，具有权威性，有助于案例的理解、分析与讨论。</w:t>
            </w:r>
          </w:p>
        </w:tc>
      </w:tr>
      <w:tr w:rsidR="00910A35" w14:paraId="09AECFF2" w14:textId="77777777" w:rsidTr="00067FE7">
        <w:trPr>
          <w:jc w:val="center"/>
        </w:trPr>
        <w:tc>
          <w:tcPr>
            <w:tcW w:w="13330" w:type="dxa"/>
            <w:gridSpan w:val="3"/>
          </w:tcPr>
          <w:p w14:paraId="289A3D98" w14:textId="0752C407" w:rsidR="00910A35" w:rsidRPr="00EB086F" w:rsidRDefault="00910A35" w:rsidP="00AC40BF">
            <w:pPr>
              <w:spacing w:line="420" w:lineRule="exact"/>
              <w:jc w:val="center"/>
              <w:rPr>
                <w:rFonts w:eastAsia="Kaiti TC"/>
                <w:color w:val="0D0D0D"/>
                <w:szCs w:val="21"/>
              </w:rPr>
            </w:pPr>
            <w:r w:rsidRPr="008A29E1">
              <w:rPr>
                <w:rFonts w:ascii="STZhongsong" w:eastAsia="STZhongsong" w:hAnsi="STZhongsong" w:hint="eastAsia"/>
              </w:rPr>
              <w:t xml:space="preserve">第三部分 </w:t>
            </w:r>
            <w:r w:rsidRPr="008A29E1">
              <w:rPr>
                <w:rFonts w:ascii="STZhongsong" w:eastAsia="STZhongsong" w:hAnsi="STZhongsong"/>
              </w:rPr>
              <w:t xml:space="preserve"> </w:t>
            </w:r>
            <w:r w:rsidRPr="008A29E1">
              <w:rPr>
                <w:rFonts w:ascii="STZhongsong" w:eastAsia="STZhongsong" w:hAnsi="STZhongsong" w:hint="eastAsia"/>
              </w:rPr>
              <w:t>文稿质量</w:t>
            </w:r>
          </w:p>
        </w:tc>
      </w:tr>
      <w:tr w:rsidR="00067FE7" w14:paraId="45EBAE49" w14:textId="77777777" w:rsidTr="00067FE7">
        <w:trPr>
          <w:jc w:val="center"/>
        </w:trPr>
        <w:tc>
          <w:tcPr>
            <w:tcW w:w="1689" w:type="dxa"/>
            <w:vMerge w:val="restart"/>
            <w:vAlign w:val="center"/>
          </w:tcPr>
          <w:p w14:paraId="11E415E9" w14:textId="596F3F1D" w:rsidR="00067FE7" w:rsidRPr="00067FE7" w:rsidRDefault="005A2CFF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/>
                <w:color w:val="0D0D0D"/>
              </w:rPr>
              <w:t>9</w:t>
            </w:r>
            <w:r w:rsidR="00067FE7">
              <w:rPr>
                <w:rFonts w:ascii="SimSun" w:eastAsia="SimSun" w:hAnsi="SimSun"/>
                <w:color w:val="0D0D0D"/>
              </w:rPr>
              <w:t>.</w:t>
            </w:r>
            <w:r w:rsidR="00067FE7" w:rsidRPr="00067FE7">
              <w:rPr>
                <w:rFonts w:ascii="SimSun" w:eastAsia="SimSun" w:hAnsi="SimSun" w:hint="eastAsia"/>
                <w:color w:val="0D0D0D"/>
              </w:rPr>
              <w:t>规范性</w:t>
            </w:r>
          </w:p>
        </w:tc>
        <w:tc>
          <w:tcPr>
            <w:tcW w:w="2428" w:type="dxa"/>
            <w:vAlign w:val="center"/>
          </w:tcPr>
          <w:p w14:paraId="762945DC" w14:textId="10669C16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文字规范</w:t>
            </w:r>
          </w:p>
        </w:tc>
        <w:tc>
          <w:tcPr>
            <w:tcW w:w="9213" w:type="dxa"/>
          </w:tcPr>
          <w:p w14:paraId="286A0E4C" w14:textId="42209041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用生动、简洁的语言将内容表述清楚，做到段落清晰、断句清楚、语法和标点符号正确、措辞恰当、表达时态正确、文风平实等。</w:t>
            </w:r>
          </w:p>
        </w:tc>
      </w:tr>
      <w:tr w:rsidR="00067FE7" w14:paraId="311E4F30" w14:textId="77777777" w:rsidTr="00067FE7">
        <w:trPr>
          <w:jc w:val="center"/>
        </w:trPr>
        <w:tc>
          <w:tcPr>
            <w:tcW w:w="1689" w:type="dxa"/>
            <w:vMerge/>
            <w:vAlign w:val="center"/>
          </w:tcPr>
          <w:p w14:paraId="6D84117D" w14:textId="77777777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</w:p>
        </w:tc>
        <w:tc>
          <w:tcPr>
            <w:tcW w:w="2428" w:type="dxa"/>
            <w:vAlign w:val="center"/>
          </w:tcPr>
          <w:p w14:paraId="7E9FECA8" w14:textId="4D6EDEF2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格式规范</w:t>
            </w:r>
          </w:p>
        </w:tc>
        <w:tc>
          <w:tcPr>
            <w:tcW w:w="9213" w:type="dxa"/>
          </w:tcPr>
          <w:p w14:paraId="5846D9CC" w14:textId="37B275BE" w:rsidR="00067FE7" w:rsidRPr="00067FE7" w:rsidRDefault="00067FE7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在字体、段落、文献标注等方面，严格按照规定体例编写。</w:t>
            </w:r>
          </w:p>
        </w:tc>
      </w:tr>
      <w:tr w:rsidR="00910A35" w14:paraId="0F67A0A1" w14:textId="77777777" w:rsidTr="00067FE7">
        <w:trPr>
          <w:jc w:val="center"/>
        </w:trPr>
        <w:tc>
          <w:tcPr>
            <w:tcW w:w="1689" w:type="dxa"/>
            <w:vAlign w:val="center"/>
          </w:tcPr>
          <w:p w14:paraId="0A642C31" w14:textId="2E1107DC" w:rsidR="00910A35" w:rsidRPr="00067FE7" w:rsidRDefault="005A2CFF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>
              <w:rPr>
                <w:rFonts w:ascii="SimSun" w:eastAsia="SimSun" w:hAnsi="SimSun"/>
                <w:color w:val="0D0D0D"/>
              </w:rPr>
              <w:t>10</w:t>
            </w:r>
            <w:r w:rsidR="00067FE7">
              <w:rPr>
                <w:rFonts w:ascii="SimSun" w:eastAsia="SimSun" w:hAnsi="SimSun"/>
                <w:color w:val="0D0D0D"/>
              </w:rPr>
              <w:t>.</w:t>
            </w:r>
            <w:r w:rsidR="00910A35" w:rsidRPr="00067FE7">
              <w:rPr>
                <w:rFonts w:ascii="SimSun" w:eastAsia="SimSun" w:hAnsi="SimSun" w:hint="eastAsia"/>
                <w:color w:val="0D0D0D"/>
              </w:rPr>
              <w:t>可读性</w:t>
            </w:r>
          </w:p>
        </w:tc>
        <w:tc>
          <w:tcPr>
            <w:tcW w:w="2428" w:type="dxa"/>
            <w:vAlign w:val="center"/>
          </w:tcPr>
          <w:p w14:paraId="400010DE" w14:textId="5150E852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 w:hint="eastAsia"/>
                <w:color w:val="0D0D0D"/>
              </w:rPr>
              <w:t>可读性强</w:t>
            </w:r>
          </w:p>
        </w:tc>
        <w:tc>
          <w:tcPr>
            <w:tcW w:w="9213" w:type="dxa"/>
          </w:tcPr>
          <w:p w14:paraId="5D93EFE9" w14:textId="60A313C6" w:rsidR="00910A35" w:rsidRPr="00067FE7" w:rsidRDefault="00910A35" w:rsidP="00AC40BF">
            <w:pPr>
              <w:spacing w:line="420" w:lineRule="exact"/>
              <w:rPr>
                <w:rFonts w:ascii="SimSun" w:eastAsia="SimSun" w:hAnsi="SimSun"/>
                <w:color w:val="0D0D0D"/>
              </w:rPr>
            </w:pPr>
            <w:r w:rsidRPr="00067FE7">
              <w:rPr>
                <w:rFonts w:ascii="SimSun" w:eastAsia="SimSun" w:hAnsi="SimSun"/>
                <w:color w:val="0D0D0D"/>
              </w:rPr>
              <w:t>案例生动有趣，可读性强，内容表述能够激发学生阅读兴趣。</w:t>
            </w:r>
          </w:p>
        </w:tc>
      </w:tr>
    </w:tbl>
    <w:p w14:paraId="3C095BA8" w14:textId="77777777" w:rsidR="00A9483C" w:rsidRPr="00A9483C" w:rsidRDefault="00A9483C"/>
    <w:p w14:paraId="4E0E19D7" w14:textId="77777777" w:rsidR="00A9483C" w:rsidRDefault="00A9483C"/>
    <w:sectPr w:rsidR="00A9483C" w:rsidSect="00A9483C">
      <w:footerReference w:type="even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B174" w14:textId="77777777" w:rsidR="003F379B" w:rsidRDefault="003F379B" w:rsidP="00E338BC">
      <w:r>
        <w:separator/>
      </w:r>
    </w:p>
  </w:endnote>
  <w:endnote w:type="continuationSeparator" w:id="0">
    <w:p w14:paraId="7D98EEB4" w14:textId="77777777" w:rsidR="003F379B" w:rsidRDefault="003F379B" w:rsidP="00E3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795304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803E8A" w14:textId="05E0AF9F" w:rsidR="00E338BC" w:rsidRDefault="00E338BC" w:rsidP="009114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213F25" w14:textId="77777777" w:rsidR="00E338BC" w:rsidRDefault="00E33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37556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48B68C" w14:textId="4AEBDF99" w:rsidR="00E338BC" w:rsidRDefault="00E338BC" w:rsidP="009114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A703C6" w14:textId="77777777" w:rsidR="00E338BC" w:rsidRDefault="00E33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9345" w14:textId="77777777" w:rsidR="003F379B" w:rsidRDefault="003F379B" w:rsidP="00E338BC">
      <w:r>
        <w:separator/>
      </w:r>
    </w:p>
  </w:footnote>
  <w:footnote w:type="continuationSeparator" w:id="0">
    <w:p w14:paraId="406030A3" w14:textId="77777777" w:rsidR="003F379B" w:rsidRDefault="003F379B" w:rsidP="00E3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3C"/>
    <w:rsid w:val="00067FE7"/>
    <w:rsid w:val="00191E5B"/>
    <w:rsid w:val="003839DC"/>
    <w:rsid w:val="003C03C5"/>
    <w:rsid w:val="003F379B"/>
    <w:rsid w:val="004222F0"/>
    <w:rsid w:val="004536DC"/>
    <w:rsid w:val="005A2CFF"/>
    <w:rsid w:val="005D5757"/>
    <w:rsid w:val="005F427E"/>
    <w:rsid w:val="005F5981"/>
    <w:rsid w:val="00631CCE"/>
    <w:rsid w:val="006B17AC"/>
    <w:rsid w:val="007476B8"/>
    <w:rsid w:val="00774DF9"/>
    <w:rsid w:val="007B3227"/>
    <w:rsid w:val="00807077"/>
    <w:rsid w:val="008A29E1"/>
    <w:rsid w:val="00910A35"/>
    <w:rsid w:val="00A9483C"/>
    <w:rsid w:val="00AC40BF"/>
    <w:rsid w:val="00AF184C"/>
    <w:rsid w:val="00BA3910"/>
    <w:rsid w:val="00D074CC"/>
    <w:rsid w:val="00D65144"/>
    <w:rsid w:val="00DE3497"/>
    <w:rsid w:val="00E338BC"/>
    <w:rsid w:val="00E93AB5"/>
    <w:rsid w:val="00F7097C"/>
    <w:rsid w:val="00FE033E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095C1"/>
  <w15:chartTrackingRefBased/>
  <w15:docId w15:val="{C146C7F2-F842-C64D-8596-C36FD762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38BC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38BC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3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Chen Xuejun</cp:lastModifiedBy>
  <cp:revision>18</cp:revision>
  <cp:lastPrinted>2019-11-27T17:45:00Z</cp:lastPrinted>
  <dcterms:created xsi:type="dcterms:W3CDTF">2019-11-27T07:29:00Z</dcterms:created>
  <dcterms:modified xsi:type="dcterms:W3CDTF">2021-09-15T15:59:00Z</dcterms:modified>
</cp:coreProperties>
</file>