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10"/>
          <w:b/>
          <w:bCs/>
          <w:color w:val="000000"/>
          <w:sz w:val="36"/>
          <w:szCs w:val="36"/>
        </w:rPr>
      </w:pPr>
      <w:bookmarkStart w:id="0" w:name="_Toc469849021"/>
      <w:r>
        <w:rPr>
          <w:rStyle w:val="10"/>
          <w:rFonts w:hint="eastAsia"/>
          <w:b/>
          <w:bCs/>
          <w:color w:val="000000"/>
          <w:sz w:val="36"/>
          <w:szCs w:val="36"/>
        </w:rPr>
        <w:t>地理科学学院学术型研究生</w:t>
      </w:r>
      <w:r>
        <w:rPr>
          <w:rStyle w:val="10"/>
          <w:b/>
          <w:bCs/>
          <w:color w:val="000000"/>
          <w:sz w:val="36"/>
          <w:szCs w:val="36"/>
        </w:rPr>
        <w:br w:type="textWrapping"/>
      </w:r>
      <w:r>
        <w:rPr>
          <w:rFonts w:hint="eastAsia" w:ascii="宋体" w:hAnsi="宋体"/>
          <w:sz w:val="36"/>
          <w:szCs w:val="36"/>
        </w:rPr>
        <w:t>国家</w:t>
      </w:r>
      <w:r>
        <w:rPr>
          <w:rStyle w:val="10"/>
          <w:rFonts w:hint="eastAsia"/>
          <w:b/>
          <w:bCs/>
          <w:color w:val="000000"/>
          <w:sz w:val="36"/>
          <w:szCs w:val="36"/>
        </w:rPr>
        <w:t>奖学金评审量化指标和计分方法</w:t>
      </w:r>
      <w:bookmarkEnd w:id="0"/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highlight w:val="none"/>
          <w:lang w:val="en-US" w:eastAsia="zh-CN"/>
        </w:rPr>
      </w:pPr>
      <w:bookmarkStart w:id="1" w:name="_Toc469848832"/>
      <w:bookmarkStart w:id="2" w:name="_Toc469849022"/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按照辽宁师范大学研究生国家奖学金评审实施办法（辽师大校发[2021]61号），特制定</w:t>
      </w:r>
      <w:r>
        <w:rPr>
          <w:rFonts w:hint="eastAsia" w:ascii="仿宋" w:hAnsi="仿宋" w:eastAsia="仿宋"/>
          <w:color w:val="000000"/>
          <w:highlight w:val="none"/>
        </w:rPr>
        <w:t>地理科学学院学术型研究生国家奖学金评审量化指标和计分方法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</w:rPr>
        <w:t>一、评审指标</w:t>
      </w:r>
      <w:bookmarkEnd w:id="1"/>
      <w:bookmarkEnd w:id="2"/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评审指标为二个部分，满分100分：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1.政治思想表现（20分）。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2.科研情况（80分）。</w:t>
      </w:r>
    </w:p>
    <w:p>
      <w:pPr>
        <w:pStyle w:val="7"/>
        <w:spacing w:before="0" w:beforeAutospacing="0" w:after="0" w:afterAutospacing="0" w:line="360" w:lineRule="auto"/>
        <w:ind w:left="479" w:leftChars="228"/>
        <w:rPr>
          <w:rFonts w:ascii="仿宋" w:hAnsi="仿宋" w:eastAsia="仿宋"/>
          <w:b/>
          <w:color w:val="000000"/>
        </w:rPr>
      </w:pPr>
      <w:r>
        <w:rPr>
          <w:rFonts w:hint="eastAsia" w:ascii="黑体" w:hAnsi="黑体" w:eastAsia="黑体"/>
          <w:b/>
          <w:bCs/>
          <w:color w:val="000000"/>
        </w:rPr>
        <w:t>二、评分办法</w:t>
      </w:r>
      <w:r>
        <w:rPr>
          <w:rFonts w:hint="eastAsia" w:ascii="仿宋" w:hAnsi="仿宋" w:eastAsia="仿宋"/>
          <w:b/>
          <w:bCs/>
          <w:color w:val="000000"/>
        </w:rPr>
        <w:br w:type="textWrapping"/>
      </w:r>
      <w:r>
        <w:rPr>
          <w:rFonts w:hint="eastAsia" w:ascii="仿宋" w:hAnsi="仿宋" w:eastAsia="仿宋"/>
          <w:b/>
          <w:color w:val="000000"/>
        </w:rPr>
        <w:t>(一)政治思想及日常行为表现（20分）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主观评价部分（10分）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本评价是由总支书记、院长、主管院长、辅导员、教学秘书和专业基础课任课教师作为评委，组成评价小组对研究生个人品行进行的综合主观评价，本评价在必要时可事先向学生导师征求意见。本评价主要根据学生以下几个方面的表现进行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1.讲道德、懂规矩、守纪律，主动践行社会主义核心价值观等情况；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2.关心集体、帮助同学、随和乐群、忠厚仁爱等表现；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3.按时参加培养计划规定课程、听课的态度和出勤情况;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4.是否积极配合导师安排的各项科研工作；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5.参加学校或本单位安排的集体活动情况；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6.是否有不尊重老师、侮辱他人的情况；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7.是否有干扰管理人员或学生干部正常履职的行为；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8.是否主动服从、积极配合老师或管理人员对宿舍寝室或床位进行调整；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9.是否存在无故拖欠研究生宿费和学费，多次催缴无果的情况；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10.遵守公序良俗情况；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11.是否有管理人员对参评人不当行为的投诉，经查证属实；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12.是否有其它与研究生身份不符的行为等。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评价结果为优秀、良好、一般、较差、不合格五个档次，分别对应给予10分、8分、6分、4分、0分。最终得分取各评委打分的平均分，小数点后保留1位，四舍五入。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注：最终得分为0分者，取消本次评优资格。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客观评价部分（10分）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客观评价由研究生本人据实填写，辅导员老师核实认定，评审委员会核定。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已在获评研究生国家奖学金或学业奖学金时使用过的加分项目，本次不得填报。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1.学生干部（最高2分）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研究生会主席或副主席、党支部书记（2分），班长、部长或其它研究生学生干部（1.5分）；寝室长（0.2分）。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注：学生干部一般至少应履职1个学年度，加分只取一个职务分；本单位将对研究生学生干部履职情况认真进行考核，考核不合格者，取消其学生干部加分。校级学生干部的加分须由党委研究生工作部提供《辽宁师范大学校级研究生学生干部评优加分证明》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    2.参加活动情况（最高5分）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参加本单位组织文体活动、竞赛等，每次加0.5分，获一、二、三奖分别追加1、0.5、0.3分；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代表学院参加学校组织文体活动、竞赛等，每次加1分，获一、二、三奖分别追加1、0.5、0.3分；代表学校参加省级以上（含省级）文体活动或竞赛者每次加1.5分，获奖追加2分；参加青年志愿者活动，每次加0.2分（最高2分）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    注：以上活动加分可累积计分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3.获评个人先进情况（最高3分）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国家、省、市、校、学院（中心）五级优秀研究生如三好学生、优秀学生干部、优秀毕业生、文体活动积极分子、社会实践先进个人、专业实践类先进个人等个人奖项在评选奖学金时给予3、2、2、1.5、1加分。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/>
          <w:b/>
          <w:color w:val="000000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注：如有重复可累积计分。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/>
          <w:b/>
          <w:color w:val="000000"/>
        </w:rPr>
        <w:t>(二)科研分（80分）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科研考核包括自本阶</w:t>
      </w:r>
      <w:r>
        <w:rPr>
          <w:rFonts w:hint="eastAsia" w:ascii="仿宋" w:hAnsi="仿宋" w:eastAsia="仿宋"/>
          <w:color w:val="000000"/>
          <w:sz w:val="24"/>
          <w:szCs w:val="24"/>
        </w:rPr>
        <w:t>段研究生入学之日起以下项目：学术论文、专著、科研项目、专利、竞赛、科研获奖、国际学术会议等。科研考核成绩进行“归一化”处理，具体计算方法如下：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以参评研究生中科研最高分为标准按80分“归一化”折算出每位研究生科研分，分值按四舍五入保留1位小数。例如，有20名研究生参评，其中学生甲科研最好，假定其科研累积分为135分，学生乙较弱，假定其科研累积分为85分，那么通过折算，学生甲的科研分为 135</w:t>
      </w:r>
      <w:r>
        <w:rPr>
          <w:rFonts w:hint="eastAsia" w:ascii="仿宋" w:hAnsi="仿宋" w:eastAsia="仿宋" w:cs="Arial"/>
          <w:color w:val="000000"/>
          <w:shd w:val="clear" w:color="auto" w:fill="FFFFFF"/>
        </w:rPr>
        <w:t>÷</w:t>
      </w:r>
      <w:r>
        <w:rPr>
          <w:rFonts w:hint="eastAsia" w:ascii="仿宋" w:hAnsi="仿宋" w:eastAsia="仿宋"/>
          <w:color w:val="000000"/>
        </w:rPr>
        <w:t>135*80=80分，学生乙的科研分为85</w:t>
      </w:r>
      <w:r>
        <w:rPr>
          <w:rFonts w:hint="eastAsia" w:ascii="仿宋" w:hAnsi="仿宋" w:eastAsia="仿宋" w:cs="Arial"/>
          <w:color w:val="000000"/>
          <w:shd w:val="clear" w:color="auto" w:fill="FFFFFF"/>
        </w:rPr>
        <w:t>÷</w:t>
      </w:r>
      <w:r>
        <w:rPr>
          <w:rFonts w:hint="eastAsia" w:ascii="仿宋" w:hAnsi="仿宋" w:eastAsia="仿宋"/>
          <w:color w:val="000000"/>
        </w:rPr>
        <w:t>135*80≈50.4分。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>注：已在学业奖学金时使用过的科研加分项目，本次不加分。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1. 学术论文与专著</w:t>
      </w:r>
    </w:p>
    <w:p>
      <w:pPr>
        <w:pStyle w:val="13"/>
        <w:spacing w:line="360" w:lineRule="auto"/>
        <w:ind w:left="420" w:firstLine="0" w:firstLineChars="0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学术论文：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学术论文，第一署名单位为辽宁师范大学，研究生为第一作者或者研究生为第二作者、导师为第一作者，其它位次署名的论文不予加分，加分标准：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SCI/SSCI（影响因子4.0及以上）、A类期刊论文120分/篇；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SCI/SSCI（影响因子2.0-4.0）100分/篇；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SCI/SSCI（影响因子1.0-2.0）80分/篇；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SCI/SSCI（1.0以下）、B类期刊论文分值50分/篇；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EI/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C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SSCI（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核心版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）/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C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SC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D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核心版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论文分值30分/篇；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论文采取基础分加基础分乘以影响因子的赋分办法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论文的影响因子：国内刊物的影响因子以评审年度CNKI公布的最新综合影响因子为准；国外期刊影响因子以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权威机构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开具的检索证明影响因子为准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计算公式为：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中文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论文基础分*（1+影响因子/10）。</w:t>
      </w:r>
    </w:p>
    <w:p>
      <w:pPr>
        <w:pStyle w:val="13"/>
        <w:spacing w:line="360" w:lineRule="auto"/>
        <w:ind w:left="840" w:firstLine="0"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 英文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论文基础分*（1+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分区数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+影响因子/10）。</w:t>
      </w:r>
    </w:p>
    <w:p>
      <w:pPr>
        <w:pStyle w:val="13"/>
        <w:spacing w:line="360" w:lineRule="auto"/>
        <w:ind w:left="420" w:firstLine="0" w:firstLineChars="0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学术专著：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属于国家新闻出版署公布的国家一级出版社（百强社），排名1-5，依次获得分值30、25、20、15、10；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属于其它类别的出版社，排名1-3，依次获得分值15、10、5。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注：SCI/SSCI、EI、CSSCI、CSCD、SCD期刊以论文发表年度发布的收录期刊目录为准；A类和B类等级标准以</w:t>
      </w:r>
      <w:r>
        <w:rPr>
          <w:rFonts w:hint="eastAsia" w:ascii="仿宋" w:hAnsi="仿宋" w:eastAsia="仿宋"/>
          <w:sz w:val="24"/>
          <w:szCs w:val="24"/>
        </w:rPr>
        <w:t>学校科研处实施的学术期刊目录等级认定标准。</w:t>
      </w:r>
      <w:r>
        <w:rPr>
          <w:rFonts w:hint="eastAsia" w:ascii="仿宋" w:hAnsi="仿宋" w:eastAsia="仿宋" w:cs="宋体"/>
          <w:kern w:val="0"/>
          <w:sz w:val="24"/>
          <w:szCs w:val="24"/>
        </w:rPr>
        <w:t>参评专著的封面上必须有参评者的名字。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2．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科研项目与创新创业项目</w:t>
      </w:r>
    </w:p>
    <w:p>
      <w:pPr>
        <w:widowControl/>
        <w:shd w:val="clear" w:color="auto" w:fill="FFFFFF"/>
        <w:spacing w:line="360" w:lineRule="auto"/>
        <w:ind w:firstLine="354" w:firstLineChars="147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科研项目：</w:t>
      </w:r>
    </w:p>
    <w:p>
      <w:pPr>
        <w:pStyle w:val="13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主持国家级科研项目，加50分/项；</w:t>
      </w:r>
    </w:p>
    <w:p>
      <w:pPr>
        <w:pStyle w:val="13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主持省部级科研项目，加30分/项；</w:t>
      </w:r>
    </w:p>
    <w:p>
      <w:pPr>
        <w:pStyle w:val="13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主持市级科研项目、学校研究生创新基金资助项目，加15分/项；</w:t>
      </w:r>
    </w:p>
    <w:p>
      <w:pPr>
        <w:widowControl/>
        <w:shd w:val="clear" w:color="auto" w:fill="FFFFFF"/>
        <w:spacing w:line="360" w:lineRule="auto"/>
        <w:ind w:left="36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大学生创新创业训练项目：</w:t>
      </w:r>
    </w:p>
    <w:p>
      <w:pPr>
        <w:pStyle w:val="13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主持国家级大学生创新创业训练项目，加10分/项；</w:t>
      </w:r>
    </w:p>
    <w:p>
      <w:pPr>
        <w:pStyle w:val="13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主持省级大学生创新创业训练项目，加5分/项；</w:t>
      </w:r>
    </w:p>
    <w:p>
      <w:pPr>
        <w:pStyle w:val="13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主持校级大学生创新创业训练项目，加3分/项。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3.专利</w:t>
      </w:r>
    </w:p>
    <w:p>
      <w:pPr>
        <w:pStyle w:val="13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获得与专业相关的专利授权，加20分/项；</w:t>
      </w:r>
    </w:p>
    <w:p>
      <w:pPr>
        <w:pStyle w:val="13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获得与专业相关的软件著作权，加15分/项；</w:t>
      </w:r>
    </w:p>
    <w:p>
      <w:pPr>
        <w:spacing w:line="360" w:lineRule="auto"/>
        <w:ind w:firstLine="57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注：参评授权书上必须有研究生的名字。研究生排名第一或者研究生排名第二、导师排名第一，加分100%，排名第三加分50%，排名第四加分30%。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4.竞赛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代表我校参加政府（含学会）主办的国家、省、市级技能大赛、科技创新、创业大赛等竞赛分别加3、2、1分。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国家级竞赛一等、二等、三等、优秀奖，分别加15、10、5、3分，排名第1者加分100%，排名第2-4位者加分80%。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省级竞赛一等、二等、三等奖，分别加10、5、3分，排名第1者加分100%，排名第2-4位者加分80%。</w:t>
      </w:r>
    </w:p>
    <w:p>
      <w:pPr>
        <w:pStyle w:val="13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市级竞赛一等、二等、三等奖，分别加5、3、2分，排名第1者加分100%，排名第2-4位者加分80%。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5.学术会议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参加国际学术会议并做报告者，加5分。</w:t>
      </w:r>
    </w:p>
    <w:p>
      <w:pPr>
        <w:widowControl/>
        <w:shd w:val="clear" w:color="auto" w:fill="FFFFFF"/>
        <w:spacing w:line="360" w:lineRule="auto"/>
        <w:ind w:left="48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注：本《细则》自</w:t>
      </w:r>
      <w:r>
        <w:rPr>
          <w:rFonts w:hint="eastAsia" w:ascii="仿宋" w:hAnsi="仿宋" w:eastAsia="仿宋" w:cs="宋体"/>
          <w:b/>
          <w:kern w:val="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宋体"/>
          <w:b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年起执行，之前的《细则》同时废止。科研成果等存在争议的，由学院学术委员会认定。</w:t>
      </w:r>
    </w:p>
    <w:p>
      <w:pPr>
        <w:pStyle w:val="3"/>
        <w:jc w:val="center"/>
        <w:rPr>
          <w:sz w:val="36"/>
          <w:szCs w:val="36"/>
        </w:rPr>
      </w:pPr>
      <w:r>
        <w:br w:type="page"/>
      </w:r>
      <w:bookmarkStart w:id="3" w:name="_Toc469849023"/>
      <w:r>
        <w:rPr>
          <w:rFonts w:hint="eastAsia"/>
          <w:sz w:val="36"/>
          <w:szCs w:val="36"/>
        </w:rPr>
        <w:t>地理科学学学院专业型硕士研究生</w:t>
      </w:r>
      <w:r>
        <w:rPr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国家奖学金评审量化指标和计分方法</w:t>
      </w:r>
      <w:bookmarkEnd w:id="3"/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黑体" w:hAnsi="黑体" w:eastAsia="黑体" w:cs="宋体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按照辽宁师范大学研究生国家奖学金评审实施办法（辽师大校发[2021]61号），特制定</w:t>
      </w:r>
      <w:r>
        <w:rPr>
          <w:rFonts w:hint="eastAsia" w:ascii="仿宋" w:hAnsi="仿宋" w:eastAsia="仿宋"/>
          <w:color w:val="000000"/>
          <w:highlight w:val="none"/>
        </w:rPr>
        <w:t>地理科学学院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专业</w:t>
      </w:r>
      <w:r>
        <w:rPr>
          <w:rFonts w:hint="eastAsia" w:ascii="仿宋" w:hAnsi="仿宋" w:eastAsia="仿宋"/>
          <w:color w:val="000000"/>
          <w:highlight w:val="none"/>
        </w:rPr>
        <w:t>型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硕士</w:t>
      </w:r>
      <w:r>
        <w:rPr>
          <w:rFonts w:hint="eastAsia" w:ascii="仿宋" w:hAnsi="仿宋" w:eastAsia="仿宋"/>
          <w:color w:val="000000"/>
          <w:highlight w:val="none"/>
        </w:rPr>
        <w:t>研究生国家奖学金评审量化指标和计分方法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华文仿宋" w:hAnsi="华文仿宋" w:eastAsia="华文仿宋"/>
          <w:b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4"/>
        </w:rPr>
        <w:t>一、评审指标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Style w:val="11"/>
          <w:rFonts w:ascii="仿宋" w:hAnsi="仿宋" w:eastAsia="仿宋"/>
          <w:b w:val="0"/>
          <w:color w:val="000000"/>
          <w:sz w:val="24"/>
          <w:szCs w:val="24"/>
        </w:rPr>
      </w:pPr>
      <w:r>
        <w:rPr>
          <w:rStyle w:val="11"/>
          <w:rFonts w:hint="eastAsia" w:ascii="仿宋" w:hAnsi="仿宋" w:eastAsia="仿宋"/>
          <w:sz w:val="24"/>
          <w:szCs w:val="24"/>
        </w:rPr>
        <w:t>评审指标为三个部分，满分100分：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Style w:val="11"/>
          <w:rFonts w:ascii="仿宋" w:hAnsi="仿宋" w:eastAsia="仿宋"/>
          <w:b w:val="0"/>
          <w:color w:val="000000"/>
          <w:sz w:val="24"/>
          <w:szCs w:val="24"/>
        </w:rPr>
      </w:pPr>
      <w:bookmarkStart w:id="4" w:name="_Toc469848833"/>
      <w:bookmarkStart w:id="5" w:name="_Toc469849024"/>
      <w:r>
        <w:rPr>
          <w:rStyle w:val="11"/>
          <w:rFonts w:hint="eastAsia" w:ascii="仿宋" w:hAnsi="仿宋" w:eastAsia="仿宋"/>
          <w:b w:val="0"/>
          <w:color w:val="000000"/>
          <w:sz w:val="24"/>
          <w:szCs w:val="24"/>
        </w:rPr>
        <w:t>1.政治思想表现（20分）。</w:t>
      </w:r>
      <w:bookmarkEnd w:id="4"/>
      <w:bookmarkEnd w:id="5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Style w:val="11"/>
          <w:rFonts w:ascii="仿宋" w:hAnsi="仿宋" w:eastAsia="仿宋"/>
          <w:b w:val="0"/>
          <w:color w:val="000000"/>
          <w:sz w:val="24"/>
          <w:szCs w:val="24"/>
        </w:rPr>
      </w:pPr>
      <w:bookmarkStart w:id="6" w:name="_Toc469849025"/>
      <w:bookmarkStart w:id="7" w:name="_Toc469848834"/>
      <w:r>
        <w:rPr>
          <w:rStyle w:val="11"/>
          <w:rFonts w:hint="eastAsia" w:ascii="仿宋" w:hAnsi="仿宋" w:eastAsia="仿宋"/>
          <w:b w:val="0"/>
          <w:color w:val="000000"/>
          <w:sz w:val="24"/>
          <w:szCs w:val="24"/>
        </w:rPr>
        <w:t>2.学习成绩（50分）。</w:t>
      </w:r>
      <w:bookmarkEnd w:id="6"/>
      <w:bookmarkEnd w:id="7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Style w:val="11"/>
          <w:rFonts w:ascii="仿宋" w:hAnsi="仿宋" w:eastAsia="仿宋"/>
          <w:b w:val="0"/>
          <w:color w:val="000000"/>
          <w:sz w:val="24"/>
          <w:szCs w:val="24"/>
        </w:rPr>
      </w:pPr>
      <w:bookmarkStart w:id="8" w:name="_Toc469848835"/>
      <w:bookmarkStart w:id="9" w:name="_Toc469849026"/>
      <w:r>
        <w:rPr>
          <w:rStyle w:val="11"/>
          <w:rFonts w:hint="eastAsia" w:ascii="仿宋" w:hAnsi="仿宋" w:eastAsia="仿宋"/>
          <w:b w:val="0"/>
          <w:color w:val="000000"/>
          <w:sz w:val="24"/>
          <w:szCs w:val="24"/>
        </w:rPr>
        <w:t>3.专业实践（25分）。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Style w:val="11"/>
          <w:rFonts w:ascii="仿宋" w:hAnsi="仿宋" w:eastAsia="仿宋"/>
          <w:b w:val="0"/>
          <w:color w:val="000000"/>
          <w:sz w:val="24"/>
          <w:szCs w:val="24"/>
        </w:rPr>
      </w:pPr>
      <w:r>
        <w:rPr>
          <w:rStyle w:val="11"/>
          <w:rFonts w:hint="eastAsia" w:ascii="仿宋" w:hAnsi="仿宋" w:eastAsia="仿宋"/>
          <w:b w:val="0"/>
          <w:color w:val="000000"/>
          <w:sz w:val="24"/>
          <w:szCs w:val="24"/>
        </w:rPr>
        <w:t>4.科研（5分）</w:t>
      </w:r>
      <w:bookmarkEnd w:id="8"/>
      <w:bookmarkEnd w:id="9"/>
      <w:r>
        <w:rPr>
          <w:rStyle w:val="11"/>
          <w:rFonts w:hint="eastAsia" w:ascii="仿宋" w:hAnsi="仿宋" w:eastAsia="仿宋"/>
          <w:b w:val="0"/>
          <w:color w:val="00000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二、评分办法</w:t>
      </w:r>
      <w:r>
        <w:rPr>
          <w:rFonts w:hint="eastAsia" w:ascii="黑体" w:hAnsi="黑体" w:eastAsia="黑体"/>
          <w:b/>
          <w:color w:val="00000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(一)政治思想及日常行为表现（20分）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主观评价部分（10分）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本评价是由总支书记、院长、主管院长、辅导员、教学秘书和专业基础课任课教师作为评委，组成评价小组对研究生个人品行进行的综合主观评价，本评价在必要时可事先向学生导师征求意见。本评价主要根据学生以下几个方面的表现进行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1.讲道德、懂规矩、守纪律，主动践行社会主义核心价值观等情况；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2.关心集体、帮助同学、随和乐群、忠厚仁爱等表现；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3.按时参加培养计划规定课程、听课的态度和出勤情况;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4.是否积极配合导师安排的各项科研工作；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5.参加学校或本单位安排的集体活动情况；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6.是否有不尊重老师、侮辱他人的情况；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7.是否有干扰管理人员或学生干部正常履职的行为；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8.是否主动服从、积极配合老师或管理人员对宿舍寝室或床位进行调整；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9.是否存在无故拖欠研究生宿费和学费，多次催缴无果的情况；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10.遵守公序良俗情况；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11.是否有管理人员对参评人不当行为的投诉，经查证属实；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12.是否有其它与研究生身份不符的行为等。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评价结果为优秀、良好、一般、较差、不合格五个档次，分别对应给予10分、8分、6分、4分、0分。最终得分取各评委打分的平均分，小数点后保留1位，四舍五入。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注：最终得分为0分者，取消本次评优资格。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客观评价部分（10分）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客观评价由研究生本人据实填写，辅导员老师核实认定，评审委员会核定。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已在获评研究生国家奖学金或学业奖学金时使用过的加分项目，本次不得填报。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1.学生干部（最高2分）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研究生会主席或副主席、党支部书记（2分），班长、部长或其它研究生学生干部（1.5分）；寝室长（0.2分）。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注：学生干部一般至少应履职1个学年度，加分只取一个职务分；本单位将对研究生学生干部履职情况认真进行考核，考核不合格者，取消其学生干部加分。校级学生干部的加分须由党委研究生工作部提供《辽宁师范大学校级研究生学生干部评优加分证明》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    2.参加活动情况（最高5分）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参加本单位组织文体活动、竞赛等，每次加0.5分，获一、二、三奖分别追加1、0.5、0.3分；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代表学院参加学校组织文体活动、竞赛等，每次加1分，获一、二、三奖分别追加1、0.5、0.3分；代表学校参加省级以上（含省级）文体活动或竞赛者每次加1.5分，获奖追加2分；参加青年志愿者活动，每次加0.2分（最高2分）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    注：以上活动加分可累积计分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3.获评个人先进情况（最高3分）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国家、省、市、校、学院（中心）五级优秀研究生如三好学生、优秀学生干部、优秀毕业生、文体活动积极分子、社会实践先进个人、专业实践类先进个人等个人奖项在评选奖学金时给予3、2、2、1.5、1加分。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注：如有重复可累积计分。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(二)学习成绩（50分）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4"/>
          <w:szCs w:val="24"/>
          <w:highlight w:val="none"/>
          <w:shd w:val="clear" w:color="auto" w:fill="FFFFFF"/>
        </w:rPr>
        <w:t>公共学位课与专业基础课成绩，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初次考试单科成绩须达到及格且平均成绩须在80分（含80分）以上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  <w:shd w:val="clear" w:color="auto" w:fill="FFFFFF"/>
        </w:rPr>
        <w:t>，课程门数按培养计划不得缺项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重修通过成绩最高按60分计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  <w:shd w:val="clear" w:color="auto" w:fill="FFFFFF"/>
        </w:rPr>
        <w:t>。</w:t>
      </w:r>
      <w:r>
        <w:rPr>
          <w:rFonts w:ascii="仿宋" w:hAnsi="仿宋" w:eastAsia="仿宋"/>
          <w:color w:val="000000"/>
          <w:sz w:val="24"/>
          <w:szCs w:val="24"/>
          <w:highlight w:val="none"/>
          <w:shd w:val="clear" w:color="auto" w:fill="FFFFFF"/>
        </w:rPr>
        <w:br w:type="textWrapping"/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 xml:space="preserve">    学习成绩分数量化计算方法：将各科成绩按百分制计算出平均分，然后再按满分50分折算出最终分, 分值按四舍五入保留1位小数。例如，某生7门课平均分85分，其学习成绩项目得分为85*0.50=42.5分。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(三)专业实践（25分）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专业实践考核包括自研究生入学之</w:t>
      </w:r>
      <w:r>
        <w:rPr>
          <w:rFonts w:hint="eastAsia" w:ascii="仿宋" w:hAnsi="仿宋" w:eastAsia="仿宋"/>
          <w:color w:val="000000"/>
          <w:sz w:val="24"/>
          <w:szCs w:val="24"/>
        </w:rPr>
        <w:t>日起以下项目：参加各级别专业竞赛、专业实践（含见习、实习）等方面。专业实践考核所确定的成绩需进一步“归一化”处理，具体计算方法举例如下：专业实践最高分为标准按25分“归一化”折算出每位研究生得分，分值按四舍五入保留1位小数。例如，有20名研究生参评，其中 学生甲最好，假定其累积分为135分，学生乙 较弱，假定其积分为85分，那么通过折算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，学生甲得分为 135÷135*25=25分，学生乙得分为85÷135*25≈15.7分</w:t>
      </w:r>
    </w:p>
    <w:p>
      <w:pPr>
        <w:widowControl/>
        <w:shd w:val="clear" w:color="auto" w:fill="FFFFFF"/>
        <w:spacing w:line="360" w:lineRule="auto"/>
        <w:ind w:left="281" w:leftChars="134" w:firstLine="120" w:firstLineChars="5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1.竞赛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代表我校参加政府（含学会）主办的国家、省、市级技能大赛、科技创新、创业大赛等竞赛分别加5、4、3分，参加学校组织的专业技能（如教学）大赛加2分（只参加了学院组织的选拔赛加1分）。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国家级竞赛一等、二等、三等、优秀奖，分别加15、10、5、3分，排名第1者加分100%，排名第2-4位者加分80%。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省级竞赛一等、二等、三等奖，分别加10、5、3分，排名第1者加分100%，排名第2-4位者加分80%。</w:t>
      </w:r>
    </w:p>
    <w:p>
      <w:pPr>
        <w:pStyle w:val="13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市级竞赛一等、二等、三等奖，分别加5、3、2分，排名第1者加分100%，排名第2-4位者加分80%。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2.专业实践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完成研究生培养方案中规定的教育见习和教育实习任务，加10分。</w:t>
      </w:r>
    </w:p>
    <w:p>
      <w:pPr>
        <w:widowControl/>
        <w:shd w:val="clear" w:color="auto" w:fill="FFFFFF"/>
        <w:spacing w:line="360" w:lineRule="auto"/>
        <w:ind w:left="281" w:leftChars="134" w:firstLine="120" w:firstLineChars="50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(四)科研（5分）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</w:rPr>
        <w:t>科研方面只计学术论文。在读期间发表的</w:t>
      </w:r>
      <w:r>
        <w:rPr>
          <w:rFonts w:hint="eastAsia" w:ascii="仿宋" w:hAnsi="仿宋" w:eastAsia="仿宋"/>
          <w:b/>
        </w:rPr>
        <w:t>学科教学（地理）专业的学术论文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color w:val="000000"/>
        </w:rPr>
        <w:t>见刊并</w:t>
      </w:r>
      <w:r>
        <w:rPr>
          <w:rFonts w:ascii="仿宋" w:hAnsi="仿宋" w:eastAsia="仿宋"/>
          <w:color w:val="000000"/>
        </w:rPr>
        <w:t>DOI号</w:t>
      </w:r>
      <w:r>
        <w:rPr>
          <w:rFonts w:hint="eastAsia" w:ascii="仿宋" w:hAnsi="仿宋" w:eastAsia="仿宋"/>
        </w:rPr>
        <w:t>），第一署名单位</w:t>
      </w:r>
      <w:r>
        <w:rPr>
          <w:rFonts w:hint="eastAsia" w:ascii="仿宋" w:hAnsi="仿宋" w:eastAsia="仿宋"/>
          <w:color w:val="000000"/>
        </w:rPr>
        <w:t>为辽宁师范大学，研究生为第一作者或者研究生为第二作者、导师为第一作者，其它位次署名的论文不予加分。以参评研究生中科研最高分为标准按5分“归一化”折算出每位研究生科研分，分值按四舍五入保留1位小数。例如，有20名研究生参评，其中学生甲科研最好，假定其科研累积分为135分，学生乙较弱，假定其科研累积分为85分，那么通过折算，学生甲的科研分为 135</w:t>
      </w:r>
      <w:r>
        <w:rPr>
          <w:rFonts w:hint="eastAsia" w:ascii="仿宋" w:hAnsi="仿宋" w:eastAsia="仿宋" w:cs="Arial"/>
          <w:color w:val="000000"/>
          <w:shd w:val="clear" w:color="auto" w:fill="FFFFFF"/>
        </w:rPr>
        <w:t>÷</w:t>
      </w:r>
      <w:r>
        <w:rPr>
          <w:rFonts w:hint="eastAsia" w:ascii="仿宋" w:hAnsi="仿宋" w:eastAsia="仿宋"/>
          <w:color w:val="000000"/>
        </w:rPr>
        <w:t>135*5=5分，学生乙的科研分为85</w:t>
      </w:r>
      <w:r>
        <w:rPr>
          <w:rFonts w:hint="eastAsia" w:ascii="仿宋" w:hAnsi="仿宋" w:eastAsia="仿宋" w:cs="Arial"/>
          <w:color w:val="000000"/>
          <w:shd w:val="clear" w:color="auto" w:fill="FFFFFF"/>
        </w:rPr>
        <w:t>÷</w:t>
      </w:r>
      <w:r>
        <w:rPr>
          <w:rFonts w:hint="eastAsia" w:ascii="仿宋" w:hAnsi="仿宋" w:eastAsia="仿宋"/>
          <w:color w:val="000000"/>
        </w:rPr>
        <w:t>135*5≈3.1分。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加分标准：</w:t>
      </w:r>
    </w:p>
    <w:p>
      <w:pPr>
        <w:pStyle w:val="13"/>
        <w:spacing w:line="360" w:lineRule="auto"/>
        <w:ind w:left="420" w:firstLine="0" w:firstLineChars="0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学术论文：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学术论文，第一署名单位为辽宁师范大学，研究生为第一作者或者研究生为第二作者、导师为第一作者，其它位次署名的论文不予加分，加分标准：</w:t>
      </w:r>
    </w:p>
    <w:p>
      <w:pPr>
        <w:pStyle w:val="13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SCI/SSCI（影响因子4.0及以上）、A类期刊论文120分/篇；</w:t>
      </w:r>
    </w:p>
    <w:p>
      <w:pPr>
        <w:pStyle w:val="13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SCI/SSCI（影响因子2.0-4.0）100分/篇；</w:t>
      </w:r>
    </w:p>
    <w:p>
      <w:pPr>
        <w:pStyle w:val="13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SCI/SSCI（影响因子1.0-2.0）80分/篇；</w:t>
      </w:r>
    </w:p>
    <w:p>
      <w:pPr>
        <w:pStyle w:val="13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SCI/SSCI（1.0以下）、B类期刊论文分值50分/篇；</w:t>
      </w:r>
    </w:p>
    <w:p>
      <w:pPr>
        <w:pStyle w:val="13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EI/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C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SSCI（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核心版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）/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C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SC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D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核心版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论文分值30分/篇；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论文采取基础分加基础分乘以影响因子的赋分办法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论文的影响因子：国内刊物的影响因子以评审年度CNKI公布的最新综合影响因子为准；国外期刊影响因子以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权威机构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开具的检索证明影响因子为准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计算公式为：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中文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论文基础分*（1+影响因子/10）。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          英文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论文基础分*（1+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分区数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+影响因子/10）。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注：SCI/SSCI、EI、CSSCI、CSCD、SCD期刊以论文发表年度发布的收录期刊目录为准；A类和B类等级标准以</w:t>
      </w:r>
      <w:r>
        <w:rPr>
          <w:rFonts w:hint="eastAsia" w:ascii="仿宋" w:hAnsi="仿宋" w:eastAsia="仿宋"/>
          <w:sz w:val="24"/>
          <w:szCs w:val="24"/>
        </w:rPr>
        <w:t>学校科研处实施的学术期刊目录等级认定标准。</w:t>
      </w:r>
    </w:p>
    <w:p>
      <w:bookmarkStart w:id="10" w:name="_GoBack"/>
      <w:bookmarkEnd w:id="10"/>
    </w:p>
    <w:p>
      <w:pPr>
        <w:widowControl/>
        <w:shd w:val="clear" w:color="auto" w:fill="FFFFFF"/>
        <w:spacing w:line="360" w:lineRule="auto"/>
        <w:ind w:left="48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注：本《细则》自</w:t>
      </w:r>
      <w:r>
        <w:rPr>
          <w:rFonts w:hint="eastAsia" w:ascii="仿宋" w:hAnsi="仿宋" w:eastAsia="仿宋" w:cs="宋体"/>
          <w:b/>
          <w:kern w:val="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宋体"/>
          <w:b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年起执行，之前的《细则》同时废止。科研成果等存在争议的，由学院学术委员会认定。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90842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42251"/>
    <w:multiLevelType w:val="multilevel"/>
    <w:tmpl w:val="0AD42251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C81CE1"/>
    <w:multiLevelType w:val="multilevel"/>
    <w:tmpl w:val="13C81CE1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B7B68CB"/>
    <w:multiLevelType w:val="multilevel"/>
    <w:tmpl w:val="1B7B68CB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A56575"/>
    <w:multiLevelType w:val="multilevel"/>
    <w:tmpl w:val="29A56575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F63DB"/>
    <w:multiLevelType w:val="multilevel"/>
    <w:tmpl w:val="34AF63DB"/>
    <w:lvl w:ilvl="0" w:tentative="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0A5349F"/>
    <w:multiLevelType w:val="multilevel"/>
    <w:tmpl w:val="40A5349F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A0F3E36"/>
    <w:multiLevelType w:val="multilevel"/>
    <w:tmpl w:val="5A0F3E36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B8424FC"/>
    <w:multiLevelType w:val="multilevel"/>
    <w:tmpl w:val="5B8424FC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MjBjYWI2NmJiMWM0OGFmMjZkNzJiNmRkOTFjMjcifQ=="/>
  </w:docVars>
  <w:rsids>
    <w:rsidRoot w:val="007928A6"/>
    <w:rsid w:val="000D5780"/>
    <w:rsid w:val="00165516"/>
    <w:rsid w:val="002E0593"/>
    <w:rsid w:val="004977CE"/>
    <w:rsid w:val="004B6057"/>
    <w:rsid w:val="00514275"/>
    <w:rsid w:val="005C1004"/>
    <w:rsid w:val="00721DE7"/>
    <w:rsid w:val="00782050"/>
    <w:rsid w:val="007928A6"/>
    <w:rsid w:val="007A73EA"/>
    <w:rsid w:val="008C04D2"/>
    <w:rsid w:val="008C58E2"/>
    <w:rsid w:val="0091787B"/>
    <w:rsid w:val="009B4950"/>
    <w:rsid w:val="00A93D9B"/>
    <w:rsid w:val="00B14C1C"/>
    <w:rsid w:val="00BE664D"/>
    <w:rsid w:val="00C03B1E"/>
    <w:rsid w:val="00E77C3C"/>
    <w:rsid w:val="00ED2D7F"/>
    <w:rsid w:val="00ED5FEB"/>
    <w:rsid w:val="00FA239A"/>
    <w:rsid w:val="00FC5CD8"/>
    <w:rsid w:val="00FF4A85"/>
    <w:rsid w:val="00FF6E37"/>
    <w:rsid w:val="066606B5"/>
    <w:rsid w:val="0C3509AF"/>
    <w:rsid w:val="126E269F"/>
    <w:rsid w:val="16663DB9"/>
    <w:rsid w:val="19DB2D10"/>
    <w:rsid w:val="200D799B"/>
    <w:rsid w:val="20C0056A"/>
    <w:rsid w:val="223958F4"/>
    <w:rsid w:val="27225ADA"/>
    <w:rsid w:val="29AC1FD3"/>
    <w:rsid w:val="2A9F7442"/>
    <w:rsid w:val="2C837C37"/>
    <w:rsid w:val="30717AD3"/>
    <w:rsid w:val="35AD5109"/>
    <w:rsid w:val="38A65E3F"/>
    <w:rsid w:val="390239BE"/>
    <w:rsid w:val="3AA80595"/>
    <w:rsid w:val="3F5D7BA0"/>
    <w:rsid w:val="407676CF"/>
    <w:rsid w:val="45216F7A"/>
    <w:rsid w:val="45E36925"/>
    <w:rsid w:val="471A0124"/>
    <w:rsid w:val="493A2D00"/>
    <w:rsid w:val="4AAC19DB"/>
    <w:rsid w:val="4BA95F1B"/>
    <w:rsid w:val="4F2E6E63"/>
    <w:rsid w:val="4FB56C3C"/>
    <w:rsid w:val="55326F81"/>
    <w:rsid w:val="566D53DE"/>
    <w:rsid w:val="57B958F8"/>
    <w:rsid w:val="583B3D1B"/>
    <w:rsid w:val="589A7317"/>
    <w:rsid w:val="59B44408"/>
    <w:rsid w:val="5AAF6DFC"/>
    <w:rsid w:val="5ED6097D"/>
    <w:rsid w:val="62F35FA1"/>
    <w:rsid w:val="63041F5D"/>
    <w:rsid w:val="6931512E"/>
    <w:rsid w:val="699F653B"/>
    <w:rsid w:val="6C292A34"/>
    <w:rsid w:val="6FD64C81"/>
    <w:rsid w:val="710B6BAC"/>
    <w:rsid w:val="773D7394"/>
    <w:rsid w:val="7DB12889"/>
    <w:rsid w:val="7DE7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3 Char"/>
    <w:basedOn w:val="9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标题 4 Char"/>
    <w:basedOn w:val="9"/>
    <w:link w:val="3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HTML 预设格式 Char"/>
    <w:basedOn w:val="9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4910</Words>
  <Characters>5376</Characters>
  <Lines>59</Lines>
  <Paragraphs>16</Paragraphs>
  <TotalTime>156</TotalTime>
  <ScaleCrop>false</ScaleCrop>
  <LinksUpToDate>false</LinksUpToDate>
  <CharactersWithSpaces>5456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2019-11-07T08:08:00Z</dcterms:created>
  <dc:creator>Windows</dc:creator>
  <cp:lastModifiedBy>于淼</cp:lastModifiedBy>
  <dcterms:modified xsi:type="dcterms:W3CDTF">2022-11-09T06:39:43Z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848E9D77FA2F4158ACE5FDECF40C0DAE</vt:lpwstr>
  </property>
</Properties>
</file>